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股指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四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昨日股指期货高位震荡，再创新高4286.8点，收于4247.6点。整体看，股指仍然维持震荡攀升格局。从消息面看，新华社：政策红利释放催生改革牛 期待成为健康牛。操作上，股指前期多单继续持有，可逢调整建多单，但不建议追多操作。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菜粕昨日夜盘震荡走低，整体维持震荡格局不变，短期缺乏明显交易机会，操作上以日内短线高抛低吸为主。中长线多单可持有1601合约。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油脂目前仍然维持震荡格局，昨晚外盘原油大幅走低，美盘油脂维持震荡，国内郑油仍将以底部震荡为主，缺乏明显操作机会，观望。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</w:rPr>
              <w:t>国内进入4月份旺季,部分采购有所显现。再加上政策红</w:t>
            </w:r>
            <w:bookmarkStart w:id="0" w:name="_GoBack"/>
            <w:bookmarkEnd w:id="0"/>
            <w:r>
              <w:rPr>
                <w:rFonts w:hint="eastAsia" w:ascii="Arial" w:hAnsi="Arial" w:cs="Arial"/>
              </w:rPr>
              <w:t>利预期,使得炼厂惜售捂货推升现货升水,对基金金属短期有支撑作用。但需求不振仍是制约铜价上涨的关键因素，短期缺乏交易机会，以观望为主。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</w:rPr>
              <w:t>天胶价格仍围绕60日均线波动，暂时没有明显行情，建议以逢低吸纳为主，中长线多单可持有，短线操作者低吸高抛。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豆粕整体看，仍维持震荡格局，外盘及国内价格受制于全球大豆供应宽松局面，在近期不会有所缓解，整体豆粕操作上，短线观望为主。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国内铁矿石市场走势出现分歧，尤其进口矿市场远期及港口现货价格涨跌不一，远期现货价格受到金融衍生品市场上涨的提振，出现上调迹象，而港口现货市场却因成交不畅，成交价格仍向低位靠拢，为此整体价格依然下移。目前，制约铁矿石市场运行的一方面是供需因素，另一方面还有心态因素，由于“跌不止境”的状态凸显，使得大部分商家对于价格的支撑期望值不高，且不断有低价成交记录出现，使得看空气氛凸显。综合因素分析，铁矿石市场虽有小幅上调气氛，但弱势状态仍未改观，下行趋势凸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螺纹昨日继续弱势，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京津沪维持10-30元幅度的下跌；二三线城市大部分地区螺纹钢价格小幅下跌，昨日市场成交情况变化不大，一线市场协议户成家量在2000吨以内的水平，二三线市场协议户出货量在500吨上下，多者能达到800-1000吨。当前成交水平与去年同期水平相比相差不多。目前的市场供需两端暂无明显波动，行情更多是随钢坯和整个钢材市场变化而波动。综合来看当前环境仍需消息面强刺激才会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见底反弹的行情出现，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预计本周剩余时间内，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螺纹钢及热卷仍然维持弱势下跌趋势。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化企业处于去库存状态，因此市场整体成交情况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难以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所好转。据焦企透露，现阶段开工率基本持平，没有进一步限产迹象，但库存依旧没有完全消耗。上游煤炭市场炼焦煤大矿价格有所下调，但降幅偏小。以目前形势来看，影响焦炭价格企稳或反弹的主要因素在于偏高的库存，后期在焦炭库存消耗到合理水平之后，国内焦炭市场有望企稳甚至反弹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短期仍然看空。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隔夜，ice5月期糖延续反弹，短期市场逐步走强。从基本面来看，2014/15榨季至今印度北方邦己产糖656万吨，高于2013/14榨季全年647万吨的水平。目前北方邦118家糖厂中仍有68家在生产，预计到4月底榨季结束时累计糖产量将达到670万吨。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国际市场供应过剩格局无实质转化，等待基本面进一步明朗。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技术面，05合约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二次探底后，价格出现短期反弹，短期这一状态有望延续。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国内来看，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截止3月底，国内产糖955万吨，较去年同期1222.36万吨出现较大幅度的下降。而销售431.44万吨，较去年同期478.07万吨有所下降。总体来看，国内减产预期基本兑现，内外价差制约国内价格。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技术面，09合约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短线空单守仓，停损5450处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，目标52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0附近。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隔夜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ice5月期棉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惯性上冲，短期保持强势格局。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从消息面来看，美国农业部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即将公布月度供需报告，报告前投资者调整持仓结构，市场预计美国农业部上调美棉出口预估数据，因为最近周出口销售数据比较理想。但长期来看，棉花的基本面无实质转变，供大于求的格局压制棉花价格。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技术面，05合约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冲击箱顶，短期保持强势状态，5日均线是本轮反弹的支撑位。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国内来看，棉花现货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成交一般，去库存进行中。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技术面，1509合约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相对较弱，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短期无交易机会。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E4831"/>
    <w:rsid w:val="01BA51E5"/>
    <w:rsid w:val="062D43AF"/>
    <w:rsid w:val="07485E01"/>
    <w:rsid w:val="07607297"/>
    <w:rsid w:val="07A36ADE"/>
    <w:rsid w:val="08B84D5E"/>
    <w:rsid w:val="099D7D2C"/>
    <w:rsid w:val="10DD46B8"/>
    <w:rsid w:val="12236F4E"/>
    <w:rsid w:val="14090A45"/>
    <w:rsid w:val="15460D75"/>
    <w:rsid w:val="1A065E3F"/>
    <w:rsid w:val="1BD937BC"/>
    <w:rsid w:val="1C854F5A"/>
    <w:rsid w:val="1D3D1FD0"/>
    <w:rsid w:val="1F207FB7"/>
    <w:rsid w:val="21A449BE"/>
    <w:rsid w:val="221E3F06"/>
    <w:rsid w:val="241E1B76"/>
    <w:rsid w:val="25176099"/>
    <w:rsid w:val="26675B0F"/>
    <w:rsid w:val="28913E9A"/>
    <w:rsid w:val="28E848A9"/>
    <w:rsid w:val="2D3A4BC3"/>
    <w:rsid w:val="2EEB458A"/>
    <w:rsid w:val="2F835A02"/>
    <w:rsid w:val="319D0139"/>
    <w:rsid w:val="31FA1C8E"/>
    <w:rsid w:val="333F4524"/>
    <w:rsid w:val="33E23D2D"/>
    <w:rsid w:val="34FD1EFB"/>
    <w:rsid w:val="35C07A3B"/>
    <w:rsid w:val="36E5781D"/>
    <w:rsid w:val="37CA3313"/>
    <w:rsid w:val="3AF834CA"/>
    <w:rsid w:val="3C317D4F"/>
    <w:rsid w:val="3E75681A"/>
    <w:rsid w:val="41325883"/>
    <w:rsid w:val="41485829"/>
    <w:rsid w:val="42F06ADE"/>
    <w:rsid w:val="4330314B"/>
    <w:rsid w:val="477914D1"/>
    <w:rsid w:val="477E5A93"/>
    <w:rsid w:val="4C601F87"/>
    <w:rsid w:val="50095F5C"/>
    <w:rsid w:val="50CC731F"/>
    <w:rsid w:val="51BD0E26"/>
    <w:rsid w:val="55596045"/>
    <w:rsid w:val="59317A63"/>
    <w:rsid w:val="59B447B9"/>
    <w:rsid w:val="5A21156A"/>
    <w:rsid w:val="5B1B5005"/>
    <w:rsid w:val="5C54188A"/>
    <w:rsid w:val="60A51588"/>
    <w:rsid w:val="61E324A5"/>
    <w:rsid w:val="61ED0836"/>
    <w:rsid w:val="6511265D"/>
    <w:rsid w:val="65FF44E4"/>
    <w:rsid w:val="6BA350A4"/>
    <w:rsid w:val="6F562079"/>
    <w:rsid w:val="71450765"/>
    <w:rsid w:val="78D93E53"/>
    <w:rsid w:val="7BF662EE"/>
    <w:rsid w:val="7C00467F"/>
    <w:rsid w:val="7D80675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V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1305</Characters>
  <Lines>10</Lines>
  <Paragraphs>3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沈德全</cp:lastModifiedBy>
  <cp:lastPrinted>2013-03-27T00:45:00Z</cp:lastPrinted>
  <dcterms:modified xsi:type="dcterms:W3CDTF">2015-04-09T00:47:00Z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2052-9.1.0.4993</vt:lpwstr>
  </property>
</Properties>
</file>